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drawing>
          <wp:anchor behindDoc="0" distT="0" distB="0" distL="114300" distR="114300" simplePos="0" locked="0" layoutInCell="0" allowOverlap="1" relativeHeight="2">
            <wp:simplePos x="0" y="0"/>
            <wp:positionH relativeFrom="margin">
              <wp:align>center</wp:align>
            </wp:positionH>
            <wp:positionV relativeFrom="paragraph">
              <wp:posOffset>635</wp:posOffset>
            </wp:positionV>
            <wp:extent cx="647700" cy="807720"/>
            <wp:effectExtent l="0" t="0" r="0" b="0"/>
            <wp:wrapTight wrapText="bothSides">
              <wp:wrapPolygon edited="0">
                <wp:start x="-75" y="0"/>
                <wp:lineTo x="-75" y="20826"/>
                <wp:lineTo x="20893" y="20826"/>
                <wp:lineTo x="20893" y="0"/>
                <wp:lineTo x="-75" y="0"/>
              </wp:wrapPolygon>
            </wp:wrapTight>
            <wp:docPr id="1" name="Pictur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 О С Т А Н О В Л Е Н И 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ПРАВИТЕЛЬСТВА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КАМЧАТСКОГО КРАЯ</w:t>
      </w:r>
    </w:p>
    <w:p>
      <w:pPr>
        <w:pStyle w:val="Normal"/>
        <w:spacing w:lineRule="auto" w:line="276" w:before="0" w:after="0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tbl>
      <w:tblPr>
        <w:tblW w:w="4253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4253"/>
      </w:tblGrid>
      <w:tr>
        <w:trPr>
          <w:trHeight w:val="427" w:hRule="atLeast"/>
        </w:trPr>
        <w:tc>
          <w:tcPr>
            <w:tcW w:w="425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142" w:hanging="142"/>
              <w:rPr>
                <w:rFonts w:ascii="Times New Roman" w:hAnsi="Times New Roman"/>
                <w:sz w:val="24"/>
              </w:rPr>
            </w:pPr>
            <w:bookmarkStart w:id="0" w:name="REGNUMDATESTAMP"/>
            <w:r>
              <w:rPr>
                <w:rFonts w:ascii="Times New Roman" w:hAnsi="Times New Roman"/>
                <w:color w:val="FFFFFF"/>
                <w:sz w:val="24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>]</w:t>
            </w:r>
            <w:bookmarkEnd w:id="0"/>
          </w:p>
        </w:tc>
      </w:tr>
      <w:tr>
        <w:trPr>
          <w:trHeight w:val="247" w:hRule="atLeast"/>
        </w:trPr>
        <w:tc>
          <w:tcPr>
            <w:tcW w:w="425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г. Петропавловск-Камчатский</w:t>
            </w:r>
          </w:p>
        </w:tc>
      </w:tr>
      <w:tr>
        <w:trPr>
          <w:trHeight w:val="80" w:hRule="atLeast"/>
        </w:trPr>
        <w:tc>
          <w:tcPr>
            <w:tcW w:w="425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Style w:val="af0"/>
        <w:tblW w:w="9738" w:type="dxa"/>
        <w:jc w:val="left"/>
        <w:tblInd w:w="-1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738"/>
      </w:tblGrid>
      <w:tr>
        <w:trPr/>
        <w:tc>
          <w:tcPr>
            <w:tcW w:w="97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30" w:hanging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 внесении изменений в приложение к постановлению Правительства Камчатского края от 11.11.2008 № 357-П «Об утверждении Примерного положения о системе оплаты труда работников государственных учреждений, подведомственных Министерству социального благополучия и семейной политики Камчатского края»</w:t>
            </w:r>
          </w:p>
        </w:tc>
      </w:tr>
    </w:tbl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ПРАВИТЕЛЬСТВО ПОСТАНОВЛЯЕТ: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1. Внести в приложение к постановлению Правительства Камчатского края от 11.11.2008 № 357-П «Об утверждении Примерного положения о системе оплаты труда работников государственных учреждений, подведомственных Министерству социального благополучия и семейной политики Камчатского края» изменения согласно приложению к настоящему постановлению.</w:t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2. Настоящее постановление вступает в силу после дня его официального опубликования.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W w:w="9532" w:type="dxa"/>
        <w:jc w:val="left"/>
        <w:tblInd w:w="-3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3578"/>
        <w:gridCol w:w="3544"/>
        <w:gridCol w:w="2410"/>
      </w:tblGrid>
      <w:tr>
        <w:trPr>
          <w:trHeight w:val="2220" w:hRule="atLeast"/>
        </w:trPr>
        <w:tc>
          <w:tcPr>
            <w:tcW w:w="3578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30" w:right="27" w:hang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Председатель Правительства Камчатского края</w:t>
            </w:r>
          </w:p>
          <w:p>
            <w:pPr>
              <w:pStyle w:val="Normal"/>
              <w:widowControl w:val="false"/>
              <w:spacing w:lineRule="auto" w:line="240" w:before="0" w:after="0"/>
              <w:ind w:left="30" w:right="27" w:hang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354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3" w:hanging="3"/>
              <w:rPr>
                <w:rFonts w:ascii="Times New Roman" w:hAnsi="Times New Roman"/>
                <w:color w:val="FFFFFF"/>
                <w:sz w:val="24"/>
              </w:rPr>
            </w:pPr>
            <w:bookmarkStart w:id="1" w:name="SIGNERSTAMP1"/>
            <w:r>
              <w:rPr>
                <w:rFonts w:ascii="Times New Roman" w:hAnsi="Times New Roman"/>
                <w:color w:val="FFFFFF"/>
                <w:sz w:val="24"/>
              </w:rPr>
              <w:t>[горизонтальный штамп подписи 1]</w:t>
            </w:r>
            <w:bookmarkEnd w:id="1"/>
          </w:p>
          <w:p>
            <w:pPr>
              <w:pStyle w:val="Normal"/>
              <w:widowControl w:val="false"/>
              <w:spacing w:lineRule="auto" w:line="240" w:before="0" w:after="0"/>
              <w:ind w:left="142" w:hanging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41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right="135" w:hanging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right="-6" w:hanging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Е.</w:t>
            </w:r>
            <w:bookmarkStart w:id="2" w:name="_GoBack_Копия_1"/>
            <w:bookmarkEnd w:id="2"/>
            <w:r>
              <w:rPr>
                <w:rFonts w:cs="Times New Roman" w:ascii="Times New Roman" w:hAnsi="Times New Roman"/>
                <w:sz w:val="28"/>
                <w:szCs w:val="28"/>
              </w:rPr>
              <w:t>А. Чекин</w:t>
            </w:r>
          </w:p>
        </w:tc>
      </w:tr>
    </w:tbl>
    <w:p>
      <w:pPr>
        <w:sectPr>
          <w:type w:val="nextPage"/>
          <w:pgSz w:w="11906" w:h="16838"/>
          <w:pgMar w:left="1418" w:right="851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  <w:r>
        <w:br w:type="page"/>
      </w:r>
    </w:p>
    <w:tbl>
      <w:tblPr>
        <w:tblStyle w:val="af0"/>
        <w:tblW w:w="963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77"/>
        <w:gridCol w:w="478"/>
        <w:gridCol w:w="484"/>
        <w:gridCol w:w="3661"/>
        <w:gridCol w:w="480"/>
        <w:gridCol w:w="1875"/>
        <w:gridCol w:w="486"/>
        <w:gridCol w:w="1694"/>
      </w:tblGrid>
      <w:tr>
        <w:trPr/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pageBreakBefore/>
              <w:widowControl w:val="false"/>
              <w:suppressAutoHyphens w:val="true"/>
              <w:spacing w:lineRule="auto" w:line="240" w:before="0" w:after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5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8079" w:hanging="8079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lang w:val="ru-RU" w:eastAsia="ru-RU" w:bidi="ar-SA"/>
              </w:rPr>
              <w:t xml:space="preserve">Приложение </w:t>
            </w:r>
            <w:bookmarkStart w:id="3" w:name="_GoBack"/>
            <w:bookmarkEnd w:id="3"/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lang w:val="ru-RU" w:eastAsia="ru-RU" w:bidi="ar-SA"/>
              </w:rPr>
              <w:t>к постановлению</w:t>
            </w:r>
          </w:p>
        </w:tc>
      </w:tr>
      <w:tr>
        <w:trPr/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5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8079" w:hanging="8079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lang w:val="ru-RU" w:eastAsia="ru-RU" w:bidi="ar-SA"/>
              </w:rPr>
              <w:t>Правительства Камчатского края</w:t>
            </w:r>
          </w:p>
        </w:tc>
      </w:tr>
      <w:tr>
        <w:trPr/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lang w:val="ru-RU" w:eastAsia="ru-RU" w:bidi="ar-SA"/>
              </w:rPr>
              <w:t>от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60"/>
              <w:ind w:left="8079" w:hanging="8079"/>
              <w:jc w:val="right"/>
              <w:rPr>
                <w:rFonts w:ascii="Times New Roman" w:hAnsi="Times New Roman"/>
                <w:color w:val="FFFFFF" w:themeColor="background1"/>
                <w:sz w:val="28"/>
              </w:rPr>
            </w:pPr>
            <w:r>
              <w:rPr>
                <w:rFonts w:eastAsia="Times New Roman" w:cs="Times New Roman" w:ascii="Times New Roman" w:hAnsi="Times New Roman"/>
                <w:color w:val="FFFFFF" w:themeColor="background1"/>
                <w:kern w:val="0"/>
                <w:sz w:val="28"/>
                <w:szCs w:val="20"/>
                <w:lang w:val="ru-RU" w:eastAsia="ru-RU" w:bidi="ar-SA"/>
              </w:rPr>
              <w:t>[R</w:t>
            </w:r>
            <w:r>
              <w:rPr>
                <w:rFonts w:eastAsia="Times New Roman" w:cs="Times New Roman" w:ascii="Times New Roman" w:hAnsi="Times New Roman"/>
                <w:color w:val="FFFFFF" w:themeColor="background1"/>
                <w:kern w:val="0"/>
                <w:sz w:val="16"/>
                <w:szCs w:val="20"/>
                <w:lang w:val="ru-RU" w:eastAsia="ru-RU" w:bidi="ar-SA"/>
              </w:rPr>
              <w:t>EGDATESTAMP]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0"/>
                <w:lang w:val="ru-RU" w:eastAsia="ru-RU" w:bidi="ar-SA"/>
              </w:rPr>
              <w:t>№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60"/>
              <w:ind w:left="8079" w:hanging="8079"/>
              <w:jc w:val="right"/>
              <w:rPr>
                <w:rFonts w:ascii="Times New Roman" w:hAnsi="Times New Roman"/>
                <w:color w:val="FFFFFF" w:themeColor="background1"/>
                <w:sz w:val="28"/>
              </w:rPr>
            </w:pPr>
            <w:r>
              <w:rPr>
                <w:rFonts w:eastAsia="Times New Roman" w:cs="Times New Roman" w:ascii="Times New Roman" w:hAnsi="Times New Roman"/>
                <w:color w:val="FFFFFF" w:themeColor="background1"/>
                <w:kern w:val="0"/>
                <w:sz w:val="28"/>
                <w:szCs w:val="20"/>
                <w:lang w:val="ru-RU" w:eastAsia="ru-RU" w:bidi="ar-SA"/>
              </w:rPr>
              <w:t>[R</w:t>
            </w:r>
            <w:r>
              <w:rPr>
                <w:rFonts w:eastAsia="Times New Roman" w:cs="Times New Roman" w:ascii="Times New Roman" w:hAnsi="Times New Roman"/>
                <w:color w:val="FFFFFF" w:themeColor="background1"/>
                <w:kern w:val="0"/>
                <w:sz w:val="16"/>
                <w:szCs w:val="20"/>
                <w:lang w:val="ru-RU" w:eastAsia="ru-RU" w:bidi="ar-SA"/>
              </w:rPr>
              <w:t>EGNUMSTAMP]</w:t>
            </w:r>
          </w:p>
        </w:tc>
      </w:tr>
    </w:tbl>
    <w:p>
      <w:pPr>
        <w:pStyle w:val="Normal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highlight w:val="none"/>
          <w:shd w:fill="FFFFFF" w:val="clear"/>
        </w:rPr>
      </w:pPr>
      <w:r>
        <w:rPr>
          <w:rFonts w:eastAsia="Times New Roman" w:cs="Times New Roman" w:ascii="Times New Roman" w:hAnsi="Times New Roman"/>
          <w:sz w:val="28"/>
          <w:szCs w:val="20"/>
          <w:shd w:fill="FFFFFF" w:val="clear"/>
          <w:lang w:eastAsia="ru-RU"/>
        </w:rPr>
        <w:t>Изменения</w:t>
      </w:r>
    </w:p>
    <w:p>
      <w:pPr>
        <w:pStyle w:val="Normal"/>
        <w:widowControl w:val="false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sz w:val="28"/>
          <w:szCs w:val="20"/>
          <w:shd w:fill="FFFFFF" w:val="clear"/>
          <w:lang w:eastAsia="ru-RU"/>
        </w:rPr>
        <w:t xml:space="preserve">в приложение к </w:t>
      </w:r>
      <w:r>
        <w:rPr>
          <w:rFonts w:eastAsia="Times New Roman" w:cs="Times New Roman" w:ascii="Times New Roman" w:hAnsi="Times New Roman"/>
          <w:bCs/>
          <w:sz w:val="28"/>
          <w:szCs w:val="20"/>
          <w:shd w:fill="FFFFFF" w:val="clear"/>
          <w:lang w:eastAsia="ru-RU"/>
        </w:rPr>
        <w:t>постановлению Правительства Камча</w:t>
      </w:r>
      <w:r>
        <w:rPr>
          <w:rFonts w:eastAsia="Times New Roman" w:cs="Times New Roman" w:ascii="Times New Roman" w:hAnsi="Times New Roman"/>
          <w:bCs/>
          <w:sz w:val="28"/>
          <w:szCs w:val="20"/>
          <w:lang w:eastAsia="ru-RU"/>
        </w:rPr>
        <w:t>тского края от 11.11.2008 № 357-П «Об утверждении Примерного положения о системе оплаты труда работников государственных учреждений, подведомственных Министерству социального благополучия и семейной политики Камчатского края»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/>
      </w:pPr>
      <w:r>
        <w:rPr>
          <w:rFonts w:eastAsia="Times New Roman" w:cs="Times New Roman" w:ascii="Times New Roman" w:hAnsi="Times New Roman"/>
          <w:sz w:val="28"/>
          <w:szCs w:val="20"/>
          <w:shd w:fill="FFFFFF" w:val="clear"/>
          <w:lang w:eastAsia="ru-RU"/>
        </w:rPr>
        <w:t xml:space="preserve">1. </w:t>
      </w:r>
      <w:r>
        <w:rPr>
          <w:rFonts w:eastAsia="Times New Roman" w:cs="Times New Roman" w:ascii="Times New Roman" w:hAnsi="Times New Roman"/>
          <w:sz w:val="28"/>
          <w:szCs w:val="20"/>
          <w:shd w:fill="FFFFFF" w:val="clear"/>
          <w:lang w:val="ru-RU" w:eastAsia="ru-RU"/>
        </w:rPr>
        <w:t xml:space="preserve">В </w:t>
      </w:r>
      <w:r>
        <w:rPr>
          <w:rFonts w:eastAsia="Times New Roman" w:cs="Times New Roman" w:ascii="Times New Roman" w:hAnsi="Times New Roman"/>
          <w:sz w:val="28"/>
          <w:szCs w:val="20"/>
          <w:shd w:fill="FFFFFF" w:val="clear"/>
          <w:lang w:eastAsia="ru-RU"/>
        </w:rPr>
        <w:t>части 11: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/>
      </w:pPr>
      <w:r>
        <w:rPr>
          <w:rFonts w:eastAsia="Times New Roman" w:cs="Times New Roman" w:ascii="Times New Roman" w:hAnsi="Times New Roman"/>
          <w:sz w:val="28"/>
          <w:szCs w:val="20"/>
          <w:shd w:fill="FFFFFF" w:val="clear"/>
          <w:lang w:eastAsia="ru-RU"/>
        </w:rPr>
        <w:t>1) в пункте 1 строки 1</w:t>
        <w:softHyphen/>
        <w:t>–2 таблицы 1 изложить в следующей редакции:</w:t>
      </w:r>
    </w:p>
    <w:p>
      <w:pPr>
        <w:pStyle w:val="Normal"/>
        <w:widowControl w:val="false"/>
        <w:spacing w:lineRule="auto" w:line="240" w:before="0" w:after="0"/>
        <w:jc w:val="left"/>
        <w:rPr/>
      </w:pPr>
      <w:r>
        <w:rPr>
          <w:rFonts w:eastAsia="Times New Roman" w:cs="Times New Roman" w:ascii="Times New Roman" w:hAnsi="Times New Roman"/>
          <w:bCs/>
          <w:sz w:val="28"/>
          <w:szCs w:val="20"/>
          <w:lang w:eastAsia="ru-RU"/>
        </w:rPr>
        <w:t>«</w:t>
      </w:r>
    </w:p>
    <w:tbl>
      <w:tblPr>
        <w:tblW w:w="9616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701"/>
        <w:gridCol w:w="5957"/>
        <w:gridCol w:w="2958"/>
      </w:tblGrid>
      <w:tr>
        <w:trPr>
          <w:tblHeader w:val="true"/>
          <w:trHeight w:val="660" w:hRule="atLeast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Должности, отнесенные к ПКГ «Медицинский и фармацевтический персонал первого уровня» 1 квалификационный уровень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FF" w:val="clear"/>
                <w:lang w:eastAsia="ru-RU"/>
              </w:rPr>
              <w:t>3959–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FF" w:val="clear"/>
                <w:lang w:eastAsia="ru-RU"/>
              </w:rPr>
              <w:t>6330</w:t>
            </w:r>
          </w:p>
        </w:tc>
      </w:tr>
      <w:tr>
        <w:trPr>
          <w:trHeight w:val="377" w:hRule="atLeast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Должности, отнесенные к ПКГ «Средний медицинский и фармацевтический персонал»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FF" w:val="clear"/>
                <w:lang w:eastAsia="ru-RU"/>
              </w:rPr>
              <w:t>4860–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FF" w:val="clear"/>
                <w:lang w:eastAsia="ru-RU"/>
              </w:rPr>
              <w:t>11905</w:t>
            </w:r>
          </w:p>
        </w:tc>
      </w:tr>
    </w:tbl>
    <w:p>
      <w:pPr>
        <w:pStyle w:val="Normal"/>
        <w:widowControl w:val="false"/>
        <w:spacing w:lineRule="auto" w:line="240" w:before="0" w:after="0"/>
        <w:jc w:val="right"/>
        <w:rPr/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»;</w:t>
      </w:r>
    </w:p>
    <w:p>
      <w:pPr>
        <w:pStyle w:val="Normal"/>
        <w:widowControl w:val="false"/>
        <w:bidi w:val="0"/>
        <w:spacing w:lineRule="auto" w:line="240" w:before="0" w:after="0"/>
        <w:ind w:left="0" w:right="0" w:firstLine="624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>
        <w:rPr>
          <w:rFonts w:eastAsia="Times New Roman" w:cs="Times New Roman" w:ascii="Times New Roman" w:hAnsi="Times New Roman"/>
          <w:sz w:val="28"/>
          <w:szCs w:val="20"/>
          <w:shd w:fill="FFFFFF" w:val="clear"/>
          <w:lang w:eastAsia="ru-RU"/>
        </w:rPr>
        <w:t xml:space="preserve">в пункте </w:t>
      </w:r>
      <w:r>
        <w:rPr>
          <w:rFonts w:eastAsia="Times New Roman" w:cs="Times New Roman" w:ascii="Times New Roman" w:hAnsi="Times New Roman"/>
          <w:sz w:val="28"/>
          <w:szCs w:val="20"/>
          <w:shd w:fill="FFFFFF" w:val="clear"/>
          <w:lang w:val="en-US" w:eastAsia="ru-RU"/>
        </w:rPr>
        <w:t xml:space="preserve">2 </w:t>
      </w:r>
      <w:r>
        <w:rPr>
          <w:rFonts w:eastAsia="Times New Roman" w:cs="Times New Roman" w:ascii="Times New Roman" w:hAnsi="Times New Roman"/>
          <w:sz w:val="28"/>
          <w:szCs w:val="20"/>
          <w:shd w:fill="FFFFFF" w:val="clear"/>
          <w:lang w:val="ru-RU" w:eastAsia="ru-RU"/>
        </w:rPr>
        <w:t xml:space="preserve">строку 2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sz w:val="28"/>
          <w:szCs w:val="20"/>
          <w:shd w:fill="FFFFFF" w:val="clear"/>
          <w:lang w:eastAsia="ru-RU"/>
        </w:rPr>
        <w:t xml:space="preserve">аблицы </w:t>
      </w:r>
      <w:r>
        <w:rPr>
          <w:rFonts w:eastAsia="Times New Roman" w:cs="Times New Roman" w:ascii="Times New Roman" w:hAnsi="Times New Roman"/>
          <w:sz w:val="28"/>
          <w:szCs w:val="20"/>
          <w:shd w:fill="FFFFFF" w:val="clear"/>
          <w:lang w:val="en-US" w:eastAsia="ru-RU"/>
        </w:rPr>
        <w:t>2</w:t>
      </w:r>
      <w:r>
        <w:rPr>
          <w:rFonts w:eastAsia="Times New Roman" w:cs="Times New Roman" w:ascii="Times New Roman" w:hAnsi="Times New Roman"/>
          <w:sz w:val="28"/>
          <w:szCs w:val="20"/>
          <w:shd w:fill="FFFFFF" w:val="clear"/>
          <w:lang w:eastAsia="ru-RU"/>
        </w:rPr>
        <w:t xml:space="preserve"> изложить в следующей редакции:</w:t>
      </w:r>
    </w:p>
    <w:p>
      <w:pPr>
        <w:pStyle w:val="Normal"/>
        <w:widowControl w:val="false"/>
        <w:spacing w:lineRule="auto" w:line="240" w:before="0" w:after="0"/>
        <w:jc w:val="lef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«</w:t>
      </w:r>
    </w:p>
    <w:tbl>
      <w:tblPr>
        <w:tblW w:w="9616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701"/>
        <w:gridCol w:w="5957"/>
        <w:gridCol w:w="2958"/>
      </w:tblGrid>
      <w:tr>
        <w:trPr>
          <w:tblHeader w:val="true"/>
          <w:trHeight w:val="746" w:hRule="atLeast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Должности, отнесенные к ПКГ «Должности специалистов третьего уровня в учреждениях здравоохранения и осуществляющих предоставление социальных услуг»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FFFFFF" w:val="clear"/>
                <w:lang w:eastAsia="ru-RU"/>
              </w:rPr>
              <w:t>6230–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FFFFFF" w:val="clear"/>
                <w:lang w:eastAsia="ru-RU"/>
              </w:rPr>
              <w:t>10651</w:t>
            </w:r>
          </w:p>
        </w:tc>
      </w:tr>
    </w:tbl>
    <w:p>
      <w:pPr>
        <w:pStyle w:val="Normal"/>
        <w:widowControl w:val="false"/>
        <w:spacing w:lineRule="auto" w:line="240" w:before="0" w:after="0"/>
        <w:jc w:val="right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»;</w:t>
      </w:r>
    </w:p>
    <w:p>
      <w:pPr>
        <w:pStyle w:val="Normal"/>
        <w:widowControl w:val="false"/>
        <w:bidi w:val="0"/>
        <w:spacing w:lineRule="auto" w:line="240" w:before="0" w:after="0"/>
        <w:ind w:left="0" w:right="0" w:firstLine="624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>
        <w:rPr>
          <w:rFonts w:eastAsia="Times New Roman" w:cs="Times New Roman" w:ascii="Times New Roman" w:hAnsi="Times New Roman"/>
          <w:sz w:val="28"/>
          <w:szCs w:val="20"/>
          <w:shd w:fill="FFFFFF" w:val="clear"/>
          <w:lang w:eastAsia="ru-RU"/>
        </w:rPr>
        <w:t xml:space="preserve">в пункте 4 строку 3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eastAsia="Times New Roman" w:cs="Times New Roman" w:ascii="Times New Roman" w:hAnsi="Times New Roman"/>
          <w:sz w:val="28"/>
          <w:szCs w:val="20"/>
          <w:shd w:fill="FFFFFF" w:val="clear"/>
          <w:lang w:eastAsia="ru-RU"/>
        </w:rPr>
        <w:t>аблицы</w:t>
      </w:r>
      <w:r>
        <w:rPr>
          <w:rFonts w:eastAsia="Times New Roman" w:cs="Times New Roman" w:ascii="Times New Roman" w:hAnsi="Times New Roman"/>
          <w:sz w:val="28"/>
          <w:szCs w:val="20"/>
          <w:shd w:fill="FFFFFF" w:val="clear"/>
          <w:lang w:val="ru-RU"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0"/>
          <w:shd w:fill="FFFFFF" w:val="clear"/>
          <w:lang w:val="en-US" w:eastAsia="ru-RU"/>
        </w:rPr>
        <w:t>4</w:t>
      </w:r>
      <w:r>
        <w:rPr>
          <w:rFonts w:eastAsia="Times New Roman" w:cs="Times New Roman" w:ascii="Times New Roman" w:hAnsi="Times New Roman"/>
          <w:sz w:val="28"/>
          <w:szCs w:val="20"/>
          <w:shd w:fill="FFFFFF" w:val="clear"/>
          <w:lang w:eastAsia="ru-RU"/>
        </w:rPr>
        <w:t xml:space="preserve"> изложить в следующей редакции:</w:t>
      </w:r>
    </w:p>
    <w:p>
      <w:pPr>
        <w:pStyle w:val="Normal"/>
        <w:widowControl w:val="false"/>
        <w:spacing w:lineRule="auto" w:line="240" w:before="0" w:after="0"/>
        <w:jc w:val="left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«</w:t>
      </w:r>
    </w:p>
    <w:tbl>
      <w:tblPr>
        <w:tblW w:w="9616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701"/>
        <w:gridCol w:w="5957"/>
        <w:gridCol w:w="2958"/>
      </w:tblGrid>
      <w:tr>
        <w:trPr>
          <w:tblHeader w:val="true"/>
          <w:trHeight w:val="466" w:hRule="atLeast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Должности, отнесенные к ПКГ должностей педагогических работников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FF" w:val="clear"/>
                <w:lang w:eastAsia="ru-RU"/>
              </w:rPr>
              <w:t>5136–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FF" w:val="clear"/>
                <w:lang w:eastAsia="ru-RU"/>
              </w:rPr>
              <w:t>13159</w:t>
            </w:r>
          </w:p>
        </w:tc>
      </w:tr>
    </w:tbl>
    <w:p>
      <w:pPr>
        <w:pStyle w:val="Normal"/>
        <w:widowControl w:val="false"/>
        <w:spacing w:lineRule="auto" w:line="240" w:before="0" w:after="0"/>
        <w:jc w:val="right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»;</w:t>
      </w:r>
    </w:p>
    <w:p>
      <w:pPr>
        <w:pStyle w:val="Normal"/>
        <w:widowControl w:val="false"/>
        <w:bidi w:val="0"/>
        <w:spacing w:lineRule="auto" w:line="240" w:before="0" w:after="0"/>
        <w:ind w:left="0" w:right="0" w:firstLine="624"/>
        <w:jc w:val="left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4) </w:t>
      </w:r>
      <w:r>
        <w:rPr>
          <w:rFonts w:eastAsia="Times New Roman" w:cs="Times New Roman" w:ascii="Times New Roman" w:hAnsi="Times New Roman"/>
          <w:sz w:val="28"/>
          <w:szCs w:val="20"/>
          <w:shd w:fill="FFFFFF" w:val="clear"/>
          <w:lang w:eastAsia="ru-RU"/>
        </w:rPr>
        <w:t xml:space="preserve">в пункте 5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т</w:t>
      </w:r>
      <w:r>
        <w:rPr>
          <w:rFonts w:eastAsia="Times New Roman" w:cs="Times New Roman" w:ascii="Times New Roman" w:hAnsi="Times New Roman"/>
          <w:sz w:val="28"/>
          <w:szCs w:val="20"/>
          <w:shd w:fill="FFFFFF" w:val="clear"/>
          <w:lang w:eastAsia="ru-RU"/>
        </w:rPr>
        <w:t>аблицу</w:t>
      </w:r>
      <w:r>
        <w:rPr>
          <w:rFonts w:eastAsia="Times New Roman" w:cs="Times New Roman" w:ascii="Times New Roman" w:hAnsi="Times New Roman"/>
          <w:sz w:val="28"/>
          <w:szCs w:val="20"/>
          <w:shd w:fill="FFFFFF" w:val="clear"/>
          <w:lang w:val="ru-RU" w:eastAsia="ru-RU"/>
        </w:rPr>
        <w:t xml:space="preserve"> 5 </w:t>
      </w:r>
      <w:r>
        <w:rPr>
          <w:rFonts w:eastAsia="Times New Roman" w:cs="Times New Roman" w:ascii="Times New Roman" w:hAnsi="Times New Roman"/>
          <w:sz w:val="28"/>
          <w:szCs w:val="20"/>
          <w:shd w:fill="FFFFFF" w:val="clear"/>
          <w:lang w:eastAsia="ru-RU"/>
        </w:rPr>
        <w:t>изложить в следующей редакции:</w:t>
      </w:r>
    </w:p>
    <w:p>
      <w:pPr>
        <w:pStyle w:val="Normal"/>
        <w:widowControl w:val="false"/>
        <w:bidi w:val="0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«</w:t>
        <w:tab/>
        <w:tab/>
        <w:tab/>
        <w:tab/>
        <w:tab/>
        <w:tab/>
        <w:tab/>
        <w:tab/>
        <w:tab/>
        <w:tab/>
        <w:tab/>
        <w:t xml:space="preserve">         Таблица 5</w:t>
      </w:r>
    </w:p>
    <w:tbl>
      <w:tblPr>
        <w:tblW w:w="9616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701"/>
        <w:gridCol w:w="5957"/>
        <w:gridCol w:w="2958"/>
      </w:tblGrid>
      <w:tr>
        <w:trPr>
          <w:trHeight w:val="603" w:hRule="atLeast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Профессиональная квалификационная группа общеотраслевых должностей руководителей, специалистов и служащих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Рекомендуемые размеры основных окладов, рублей</w:t>
            </w:r>
          </w:p>
        </w:tc>
      </w:tr>
    </w:tbl>
    <w:p>
      <w:pPr>
        <w:pStyle w:val="Normal"/>
        <w:spacing w:before="0" w:after="0"/>
        <w:rPr>
          <w:sz w:val="2"/>
          <w:szCs w:val="2"/>
        </w:rPr>
      </w:pPr>
      <w:r>
        <w:rPr>
          <w:sz w:val="2"/>
          <w:szCs w:val="2"/>
        </w:rPr>
      </w:r>
    </w:p>
    <w:tbl>
      <w:tblPr>
        <w:tblW w:w="9616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701"/>
        <w:gridCol w:w="5957"/>
        <w:gridCol w:w="2958"/>
      </w:tblGrid>
      <w:tr>
        <w:trPr>
          <w:tblHeader w:val="true"/>
          <w:trHeight w:val="321" w:hRule="atLeast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>
        <w:trPr>
          <w:trHeight w:val="442" w:hRule="atLeast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Должности, отнесенные к ПКГ «Общеотраслевые должности служащих первого уровня»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FF" w:val="clear"/>
                <w:lang w:eastAsia="ru-RU"/>
              </w:rPr>
              <w:t>3959–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FF" w:val="clear"/>
                <w:lang w:eastAsia="ru-RU"/>
              </w:rPr>
              <w:t>5640</w:t>
            </w:r>
          </w:p>
        </w:tc>
      </w:tr>
      <w:tr>
        <w:trPr>
          <w:trHeight w:val="523" w:hRule="atLeast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Должности, отнесенные к ПКГ «Общеотраслевые должности служащих второго уровня»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FF" w:val="clear"/>
                <w:lang w:eastAsia="ru-RU"/>
              </w:rPr>
              <w:t>4860–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FF" w:val="clear"/>
                <w:lang w:eastAsia="ru-RU"/>
              </w:rPr>
              <w:t>8772</w:t>
            </w:r>
          </w:p>
        </w:tc>
      </w:tr>
      <w:tr>
        <w:trPr>
          <w:trHeight w:val="463" w:hRule="atLeast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Должности, отнесенные к ПКГ «Общеотраслевые должности служащих третьего уровня»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FF" w:val="clear"/>
                <w:lang w:eastAsia="ru-RU"/>
              </w:rPr>
              <w:t>5915–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FF" w:val="clear"/>
                <w:lang w:eastAsia="ru-RU"/>
              </w:rPr>
              <w:t>12531</w:t>
            </w:r>
          </w:p>
        </w:tc>
      </w:tr>
      <w:tr>
        <w:trPr>
          <w:trHeight w:val="559" w:hRule="atLeast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Должности, отнесенные к ПКГ «Общеотраслевые должности служащих четвертого уровня»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FFFFFF" w:val="clear"/>
                <w:lang w:eastAsia="ru-RU"/>
              </w:rPr>
              <w:t>5917–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FFFFFF" w:val="clear"/>
                <w:lang w:eastAsia="ru-RU"/>
              </w:rPr>
              <w:t>13159</w:t>
            </w:r>
          </w:p>
        </w:tc>
      </w:tr>
    </w:tbl>
    <w:p>
      <w:pPr>
        <w:pStyle w:val="Normal"/>
        <w:widowControl w:val="false"/>
        <w:spacing w:lineRule="auto" w:line="240" w:before="0" w:after="0"/>
        <w:jc w:val="right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;»;</w:t>
      </w:r>
    </w:p>
    <w:p>
      <w:pPr>
        <w:pStyle w:val="Normal"/>
        <w:widowControl w:val="false"/>
        <w:bidi w:val="0"/>
        <w:spacing w:lineRule="auto" w:line="240" w:before="0" w:after="0"/>
        <w:ind w:left="0" w:right="0" w:firstLine="680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5) дополнить пунктом 10 следующего содержания:</w:t>
      </w:r>
    </w:p>
    <w:p>
      <w:pPr>
        <w:pStyle w:val="Normal"/>
        <w:widowControl w:val="false"/>
        <w:bidi w:val="0"/>
        <w:spacing w:lineRule="auto" w:line="240" w:before="0" w:after="0"/>
        <w:ind w:left="0" w:right="0" w:firstLine="680"/>
        <w:jc w:val="both"/>
        <w:rPr>
          <w:rFonts w:ascii="Times New Roman" w:hAnsi="Times New Roman"/>
          <w:sz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«10) п</w:t>
      </w:r>
      <w:r>
        <w:rPr>
          <w:rFonts w:ascii="Times New Roman" w:hAnsi="Times New Roman"/>
          <w:b w:val="false"/>
          <w:sz w:val="28"/>
          <w:szCs w:val="28"/>
        </w:rPr>
        <w:t xml:space="preserve">риказ </w:t>
      </w:r>
      <w:r>
        <w:rPr>
          <w:rFonts w:ascii="Times New Roman" w:hAnsi="Times New Roman"/>
          <w:b w:val="false"/>
          <w:sz w:val="28"/>
          <w:szCs w:val="28"/>
          <w:lang w:val="ru-RU"/>
        </w:rPr>
        <w:t>Министерства т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руда и социальной защиты Российской Федерации от 30.07.20</w:t>
      </w:r>
      <w:r>
        <w:rPr>
          <w:rFonts w:ascii="Times New Roman" w:hAnsi="Times New Roman"/>
          <w:b w:val="false"/>
          <w:sz w:val="28"/>
          <w:szCs w:val="28"/>
        </w:rPr>
        <w:t>18 № 507н «Об утверждении профессионального стандарта «Сиделка (помощник по уходу)»:</w:t>
      </w:r>
    </w:p>
    <w:p>
      <w:pPr>
        <w:pStyle w:val="Normal"/>
        <w:widowControl w:val="false"/>
        <w:bidi w:val="0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«</w:t>
        <w:tab/>
        <w:tab/>
        <w:tab/>
        <w:tab/>
        <w:tab/>
        <w:tab/>
        <w:tab/>
        <w:tab/>
        <w:tab/>
        <w:tab/>
        <w:tab/>
        <w:t xml:space="preserve">       Таблица 10</w:t>
      </w:r>
    </w:p>
    <w:tbl>
      <w:tblPr>
        <w:tblW w:w="9616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701"/>
        <w:gridCol w:w="5957"/>
        <w:gridCol w:w="2958"/>
      </w:tblGrid>
      <w:tr>
        <w:trPr>
          <w:trHeight w:val="603" w:hRule="atLeast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Рекомендуемые размеры основных окладов, рублей</w:t>
            </w:r>
          </w:p>
        </w:tc>
      </w:tr>
    </w:tbl>
    <w:p>
      <w:pPr>
        <w:pStyle w:val="Normal"/>
        <w:spacing w:before="0" w:after="0"/>
        <w:rPr>
          <w:sz w:val="2"/>
          <w:szCs w:val="2"/>
        </w:rPr>
      </w:pPr>
      <w:r>
        <w:rPr>
          <w:sz w:val="2"/>
          <w:szCs w:val="2"/>
        </w:rPr>
      </w:r>
    </w:p>
    <w:tbl>
      <w:tblPr>
        <w:tblW w:w="9616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701"/>
        <w:gridCol w:w="5957"/>
        <w:gridCol w:w="2958"/>
      </w:tblGrid>
      <w:tr>
        <w:trPr>
          <w:tblHeader w:val="true"/>
          <w:trHeight w:val="321" w:hRule="atLeast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>
        <w:trPr>
          <w:trHeight w:val="442" w:hRule="atLeast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firstLine="68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eastAsia="Times New Roman" w:cs="Times New Roman" w:ascii="Times New Roman" w:hAnsi="Times New Roman"/>
                <w:b w:val="false"/>
                <w:sz w:val="24"/>
                <w:szCs w:val="28"/>
                <w:lang w:eastAsia="ru-RU"/>
              </w:rPr>
              <w:t>Сиделка (помощник по уходу)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64" w:before="0" w:after="160"/>
              <w:ind w:left="57" w:right="57" w:hanging="0"/>
              <w:jc w:val="center"/>
              <w:rPr>
                <w:color w:val="000000"/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FFFFFF" w:val="clear"/>
                <w:lang w:eastAsia="ru-RU"/>
              </w:rPr>
              <w:t>6 230</w:t>
            </w:r>
          </w:p>
        </w:tc>
      </w:tr>
    </w:tbl>
    <w:p>
      <w:pPr>
        <w:pStyle w:val="Normal"/>
        <w:widowControl w:val="false"/>
        <w:spacing w:lineRule="auto" w:line="240" w:before="0" w:after="0"/>
        <w:jc w:val="right"/>
        <w:rPr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sz w:val="28"/>
          <w:szCs w:val="28"/>
          <w:lang w:eastAsia="ru-RU"/>
        </w:rPr>
        <w:t>;»;</w:t>
      </w:r>
    </w:p>
    <w:p>
      <w:pPr>
        <w:pStyle w:val="Normal"/>
        <w:widowControl w:val="false"/>
        <w:bidi w:val="0"/>
        <w:spacing w:lineRule="auto" w:line="240" w:before="0" w:after="0"/>
        <w:ind w:left="0" w:right="0" w:firstLine="680"/>
        <w:jc w:val="both"/>
        <w:rPr>
          <w:highlight w:val="none"/>
          <w:shd w:fill="FFFFFF" w:val="clear"/>
        </w:rPr>
      </w:pPr>
      <w:r>
        <w:rPr>
          <w:rFonts w:eastAsia="Times New Roman" w:cs="Times New Roman" w:ascii="Times New Roman" w:hAnsi="Times New Roman"/>
          <w:sz w:val="28"/>
          <w:szCs w:val="28"/>
          <w:shd w:fill="FFFFFF" w:val="clear"/>
          <w:lang w:eastAsia="ru-RU"/>
        </w:rPr>
        <w:t xml:space="preserve">2. В абзаце первом части 16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>после слова «Рекомендуемые» дополнить словом «предельные»</w:t>
      </w:r>
      <w:r>
        <w:rPr>
          <w:rFonts w:eastAsia="Times New Roman" w:cs="Times New Roman" w:ascii="Times New Roman" w:hAnsi="Times New Roman"/>
          <w:sz w:val="28"/>
          <w:szCs w:val="28"/>
          <w:shd w:fill="FFFFFF" w:val="clear"/>
          <w:lang w:eastAsia="ru-RU"/>
        </w:rPr>
        <w:t>;</w:t>
      </w:r>
    </w:p>
    <w:p>
      <w:pPr>
        <w:pStyle w:val="Normal"/>
        <w:widowControl w:val="false"/>
        <w:bidi w:val="0"/>
        <w:spacing w:lineRule="auto" w:line="240" w:before="0" w:after="0"/>
        <w:ind w:left="0" w:right="0" w:firstLine="680"/>
        <w:jc w:val="both"/>
        <w:rPr>
          <w:highlight w:val="none"/>
          <w:shd w:fill="FFFFFF" w:val="clear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>3. В части 18:</w:t>
      </w:r>
    </w:p>
    <w:p>
      <w:pPr>
        <w:pStyle w:val="Normal"/>
        <w:widowControl w:val="false"/>
        <w:bidi w:val="0"/>
        <w:spacing w:lineRule="auto" w:line="240" w:before="0" w:after="0"/>
        <w:ind w:left="0" w:right="0" w:firstLine="680"/>
        <w:jc w:val="both"/>
        <w:rPr>
          <w:highlight w:val="none"/>
          <w:shd w:fill="FFFFFF" w:val="clear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>1) в абзаце втором после слова «Рекомендуемые» дополнить словом «предельные»;</w:t>
      </w:r>
    </w:p>
    <w:p>
      <w:pPr>
        <w:pStyle w:val="Normal"/>
        <w:widowControl w:val="false"/>
        <w:bidi w:val="0"/>
        <w:spacing w:lineRule="auto" w:line="240" w:before="0" w:after="0"/>
        <w:ind w:left="0" w:right="0" w:firstLine="68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>2) в пункте 1 цифру «0,15» заменить цифрой «0,30»;</w:t>
      </w:r>
    </w:p>
    <w:p>
      <w:pPr>
        <w:pStyle w:val="Normal"/>
        <w:widowControl w:val="false"/>
        <w:bidi w:val="0"/>
        <w:spacing w:lineRule="auto" w:line="240" w:before="0" w:after="0"/>
        <w:ind w:left="0" w:right="0" w:firstLine="68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>3) в пункте 2 цифру «0,12» заменить цифрой «0,20»;</w:t>
      </w:r>
    </w:p>
    <w:p>
      <w:pPr>
        <w:pStyle w:val="Normal"/>
        <w:widowControl w:val="false"/>
        <w:shd w:val="clear" w:fill="FFFFFF"/>
        <w:bidi w:val="0"/>
        <w:spacing w:lineRule="auto" w:line="240" w:before="0" w:after="0"/>
        <w:ind w:left="0" w:right="0" w:firstLine="68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>4. В части 24:</w:t>
      </w:r>
    </w:p>
    <w:p>
      <w:pPr>
        <w:pStyle w:val="Normal"/>
        <w:widowControl w:val="false"/>
        <w:bidi w:val="0"/>
        <w:spacing w:lineRule="auto" w:line="240" w:before="0" w:after="0"/>
        <w:ind w:left="0" w:right="0" w:firstLine="68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>1) т</w:t>
      </w:r>
      <w:r>
        <w:rPr>
          <w:rFonts w:eastAsia="Times New Roman" w:cs="Times New Roman" w:ascii="Times New Roman" w:hAnsi="Times New Roman"/>
          <w:color w:val="000000"/>
          <w:sz w:val="28"/>
          <w:szCs w:val="20"/>
          <w:shd w:fill="FFFFFF" w:val="clear"/>
          <w:lang w:eastAsia="ru-RU"/>
        </w:rPr>
        <w:t>аблицу</w:t>
      </w:r>
      <w:r>
        <w:rPr>
          <w:rFonts w:eastAsia="Times New Roman" w:cs="Times New Roman" w:ascii="Times New Roman" w:hAnsi="Times New Roman"/>
          <w:color w:val="000000"/>
          <w:sz w:val="28"/>
          <w:szCs w:val="20"/>
          <w:shd w:fill="FFFFFF" w:val="clear"/>
          <w:lang w:val="ru-RU" w:eastAsia="ru-RU"/>
        </w:rPr>
        <w:t xml:space="preserve"> 1</w:t>
      </w:r>
      <w:r>
        <w:rPr>
          <w:rFonts w:eastAsia="Times New Roman" w:cs="Times New Roman" w:ascii="Times New Roman" w:hAnsi="Times New Roman"/>
          <w:color w:val="000000"/>
          <w:sz w:val="28"/>
          <w:szCs w:val="20"/>
          <w:shd w:fill="FFFFFF" w:val="clear"/>
          <w:lang w:eastAsia="ru-RU"/>
        </w:rPr>
        <w:t xml:space="preserve"> изложить в следующей редакции:</w:t>
      </w:r>
    </w:p>
    <w:p>
      <w:pPr>
        <w:pStyle w:val="Normal"/>
        <w:widowControl w:val="false"/>
        <w:bidi w:val="0"/>
        <w:spacing w:lineRule="auto" w:line="240" w:before="0" w:after="0"/>
        <w:ind w:left="0" w:right="0" w:hanging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0"/>
          <w:shd w:fill="FFFFFF" w:val="clear"/>
          <w:lang w:eastAsia="ru-RU"/>
        </w:rPr>
        <w:t>«</w:t>
        <w:tab/>
        <w:tab/>
        <w:tab/>
        <w:tab/>
        <w:tab/>
        <w:tab/>
        <w:tab/>
        <w:tab/>
        <w:tab/>
        <w:tab/>
        <w:tab/>
        <w:t xml:space="preserve">        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Таблица 1</w:t>
      </w:r>
    </w:p>
    <w:tbl>
      <w:tblPr>
        <w:tblW w:w="9616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701"/>
        <w:gridCol w:w="5957"/>
        <w:gridCol w:w="2958"/>
      </w:tblGrid>
      <w:tr>
        <w:trPr>
          <w:trHeight w:val="593" w:hRule="atLeast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Профессиональная квалификационная группа «Общеотраслевые профессии рабочих первого уровня»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Рекомендуемые размеры основных окладов, рублей</w:t>
            </w:r>
          </w:p>
        </w:tc>
      </w:tr>
      <w:tr>
        <w:trPr>
          <w:trHeight w:val="321" w:hRule="atLeast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>
        <w:trPr>
          <w:trHeight w:val="102" w:hRule="atLeast"/>
        </w:trPr>
        <w:tc>
          <w:tcPr>
            <w:tcW w:w="96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1 квалификационный уровень</w:t>
            </w:r>
          </w:p>
        </w:tc>
      </w:tr>
      <w:tr>
        <w:trPr>
          <w:trHeight w:val="102" w:hRule="atLeast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Наименование профессий рабочих,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по которым предусмотрено присвоение 1, 2 и 3 квалификационных разрядов в соответствии с Единым тарифно-квалификационным </w:t>
            </w:r>
            <w:hyperlink r:id="rId3">
              <w:r>
                <w:rPr>
                  <w:rFonts w:eastAsia="Times New Roman" w:cs="Times New Roman" w:ascii="Times New Roman" w:hAnsi="Times New Roman"/>
                  <w:bCs/>
                  <w:sz w:val="24"/>
                  <w:szCs w:val="24"/>
                  <w:lang w:eastAsia="ru-RU"/>
                </w:rPr>
                <w:t>справочником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работ и профессий рабочих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FFFFFF" w:val="clear"/>
                <w:lang w:eastAsia="ru-RU"/>
              </w:rPr>
              <w:t>3711–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FFFFFF" w:val="clear"/>
                <w:lang w:eastAsia="ru-RU"/>
              </w:rPr>
              <w:t>5640</w:t>
            </w:r>
          </w:p>
        </w:tc>
      </w:tr>
      <w:tr>
        <w:trPr>
          <w:trHeight w:val="102" w:hRule="atLeast"/>
        </w:trPr>
        <w:tc>
          <w:tcPr>
            <w:tcW w:w="96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FFFFFF" w:val="clear"/>
                <w:lang w:eastAsia="ru-RU"/>
              </w:rPr>
              <w:t>2 квалификационный уровень</w:t>
            </w:r>
          </w:p>
        </w:tc>
      </w:tr>
      <w:tr>
        <w:trPr>
          <w:trHeight w:val="102" w:hRule="atLeast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Профессии рабочих, отнесенных к первому квалификационному уровню, при выполнении работ по профессии с производным наименованием «старший» (старший по смене)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FFFFFF" w:val="clear"/>
                <w:lang w:eastAsia="ru-RU"/>
              </w:rPr>
              <w:t>3897–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FFFFFF" w:val="clear"/>
                <w:lang w:eastAsia="ru-RU"/>
              </w:rPr>
              <w:t>6079</w:t>
            </w:r>
          </w:p>
        </w:tc>
      </w:tr>
    </w:tbl>
    <w:p>
      <w:pPr>
        <w:pStyle w:val="Normal"/>
        <w:widowControl w:val="false"/>
        <w:spacing w:lineRule="auto" w:line="240" w:before="0" w:after="0"/>
        <w:jc w:val="right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fldChar w:fldCharType="begin"/>
      </w:r>
      <w:r>
        <w:rPr>
          <w:sz w:val="28"/>
          <w:szCs w:val="28"/>
          <w:rFonts w:eastAsia="Times New Roman" w:cs="Times New Roman" w:ascii="Times New Roman" w:hAnsi="Times New Roman"/>
          <w:lang w:eastAsia="ru-RU"/>
        </w:rPr>
        <w:instrText xml:space="preserve"> PAGE </w:instrText>
      </w:r>
      <w:r>
        <w:rPr>
          <w:sz w:val="28"/>
          <w:szCs w:val="28"/>
          <w:rFonts w:eastAsia="Times New Roman" w:cs="Times New Roman" w:ascii="Times New Roman" w:hAnsi="Times New Roman"/>
          <w:lang w:eastAsia="ru-RU"/>
        </w:rPr>
        <w:fldChar w:fldCharType="separate"/>
      </w:r>
      <w:r>
        <w:rPr>
          <w:sz w:val="28"/>
          <w:szCs w:val="28"/>
          <w:rFonts w:eastAsia="Times New Roman" w:cs="Times New Roman" w:ascii="Times New Roman" w:hAnsi="Times New Roman"/>
          <w:lang w:eastAsia="ru-RU"/>
        </w:rPr>
        <w:t>3</w:t>
      </w:r>
      <w:r>
        <w:rPr>
          <w:sz w:val="28"/>
          <w:szCs w:val="28"/>
          <w:rFonts w:eastAsia="Times New Roman" w:cs="Times New Roman" w:ascii="Times New Roman" w:hAnsi="Times New Roman"/>
          <w:lang w:eastAsia="ru-RU"/>
        </w:rPr>
        <w:fldChar w:fldCharType="end"/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;</w:t>
      </w:r>
      <w:r>
        <w:rPr>
          <w:rFonts w:eastAsia="Times New Roman" w:cs="Times New Roman" w:ascii="Times New Roman" w:hAnsi="Times New Roman"/>
          <w:color w:val="000000"/>
          <w:sz w:val="28"/>
          <w:szCs w:val="20"/>
          <w:shd w:fill="FFFFFF" w:val="clear"/>
          <w:lang w:eastAsia="ru-RU"/>
        </w:rPr>
        <w:t>»</w:t>
      </w:r>
      <w:r>
        <w:rPr>
          <w:rFonts w:eastAsia="Times New Roman" w:cs="Times New Roman" w:ascii="Times New Roman" w:hAnsi="Times New Roman"/>
          <w:color w:val="000000"/>
          <w:sz w:val="28"/>
          <w:szCs w:val="20"/>
          <w:shd w:fill="FFFFFF" w:val="clear"/>
          <w:lang w:val="en-US" w:eastAsia="ru-RU"/>
        </w:rPr>
        <w:t>;</w:t>
      </w:r>
    </w:p>
    <w:p>
      <w:pPr>
        <w:pStyle w:val="Normal"/>
        <w:widowControl w:val="false"/>
        <w:bidi w:val="0"/>
        <w:spacing w:lineRule="auto" w:line="240" w:before="0" w:after="0"/>
        <w:ind w:left="0" w:right="0" w:firstLine="680"/>
        <w:jc w:val="left"/>
        <w:rPr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0"/>
          <w:shd w:fill="FFFFFF" w:val="clear"/>
          <w:lang w:val="ru-RU" w:eastAsia="ru-RU"/>
        </w:rPr>
        <w:t xml:space="preserve">2)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FF" w:val="clear"/>
          <w:lang w:val="ru-RU" w:eastAsia="ru-RU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0"/>
          <w:shd w:fill="FFFFFF" w:val="clear"/>
          <w:lang w:val="ru-RU" w:eastAsia="ru-RU"/>
        </w:rPr>
        <w:t>аблицу 1 изложить в следующей редакции:</w:t>
      </w:r>
    </w:p>
    <w:p>
      <w:pPr>
        <w:pStyle w:val="Normal"/>
        <w:widowControl w:val="false"/>
        <w:bidi w:val="0"/>
        <w:spacing w:lineRule="auto" w:line="240" w:before="0" w:after="0"/>
        <w:ind w:left="0" w:right="0" w:hanging="0"/>
        <w:jc w:val="left"/>
        <w:rPr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0"/>
          <w:shd w:fill="FFFFFF" w:val="clear"/>
          <w:lang w:val="ru-RU" w:eastAsia="ru-RU"/>
        </w:rPr>
        <w:t>«</w:t>
        <w:tab/>
        <w:tab/>
        <w:tab/>
        <w:tab/>
        <w:tab/>
        <w:tab/>
        <w:tab/>
        <w:tab/>
        <w:tab/>
        <w:tab/>
        <w:tab/>
        <w:t xml:space="preserve">       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FF" w:val="clear"/>
          <w:lang w:val="ru-RU" w:eastAsia="ru-RU"/>
        </w:rPr>
        <w:t>Таблица 2</w:t>
      </w:r>
    </w:p>
    <w:tbl>
      <w:tblPr>
        <w:tblW w:w="9616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701"/>
        <w:gridCol w:w="5957"/>
        <w:gridCol w:w="2958"/>
      </w:tblGrid>
      <w:tr>
        <w:trPr>
          <w:trHeight w:val="593" w:hRule="atLeast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Профессиональная квалификационная группа «Общеотраслевые профессии рабочих второго уровня»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Рекомендуемые размеры основных окладов, рублей</w:t>
            </w:r>
          </w:p>
        </w:tc>
      </w:tr>
    </w:tbl>
    <w:p>
      <w:pPr>
        <w:pStyle w:val="Normal"/>
        <w:spacing w:before="0" w:after="0"/>
        <w:rPr>
          <w:sz w:val="2"/>
          <w:szCs w:val="2"/>
        </w:rPr>
      </w:pPr>
      <w:r>
        <w:rPr>
          <w:sz w:val="2"/>
          <w:szCs w:val="2"/>
        </w:rPr>
      </w:r>
    </w:p>
    <w:tbl>
      <w:tblPr>
        <w:tblW w:w="9616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701"/>
        <w:gridCol w:w="5957"/>
        <w:gridCol w:w="2958"/>
      </w:tblGrid>
      <w:tr>
        <w:trPr>
          <w:tblHeader w:val="true"/>
          <w:trHeight w:val="321" w:hRule="atLeast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>
        <w:trPr>
          <w:trHeight w:val="102" w:hRule="atLeast"/>
        </w:trPr>
        <w:tc>
          <w:tcPr>
            <w:tcW w:w="96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1 квалификационный уровень</w:t>
            </w:r>
          </w:p>
        </w:tc>
      </w:tr>
      <w:tr>
        <w:trPr>
          <w:trHeight w:val="102" w:hRule="atLeast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Наименование профессий рабочих, по которым предусмотрено присвоение 4 и 5 квалификационных разрядов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FFFFFF" w:val="clear"/>
                <w:lang w:eastAsia="ru-RU"/>
              </w:rPr>
              <w:t>4379–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FFFFFF" w:val="clear"/>
                <w:lang w:eastAsia="ru-RU"/>
              </w:rPr>
              <w:t>6517</w:t>
            </w:r>
          </w:p>
        </w:tc>
      </w:tr>
      <w:tr>
        <w:trPr>
          <w:trHeight w:val="102" w:hRule="atLeast"/>
        </w:trPr>
        <w:tc>
          <w:tcPr>
            <w:tcW w:w="96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FFFFFF" w:val="clear"/>
                <w:lang w:eastAsia="ru-RU"/>
              </w:rPr>
              <w:t>2 квалификационный уровень</w:t>
            </w:r>
          </w:p>
        </w:tc>
      </w:tr>
      <w:tr>
        <w:trPr>
          <w:trHeight w:val="102" w:hRule="atLeast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Профессии рабочих, по которым предусмотрено присвоение 6 и 7 квалификационных разрядов в соответствии с Единым тарифно-квалификационным </w:t>
            </w:r>
            <w:hyperlink r:id="rId4">
              <w:r>
                <w:rPr>
                  <w:rFonts w:eastAsia="Times New Roman" w:cs="Times New Roman" w:ascii="Times New Roman" w:hAnsi="Times New Roman"/>
                  <w:bCs/>
                  <w:sz w:val="24"/>
                  <w:szCs w:val="24"/>
                  <w:lang w:eastAsia="ru-RU"/>
                </w:rPr>
                <w:t>справочником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работ и профессий рабочих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FFFFFF" w:val="clear"/>
                <w:lang w:eastAsia="ru-RU"/>
              </w:rPr>
              <w:t>5371–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FFFFFF" w:val="clear"/>
                <w:lang w:eastAsia="ru-RU"/>
              </w:rPr>
              <w:t>7646</w:t>
            </w:r>
          </w:p>
        </w:tc>
      </w:tr>
      <w:tr>
        <w:trPr>
          <w:trHeight w:val="102" w:hRule="atLeast"/>
        </w:trPr>
        <w:tc>
          <w:tcPr>
            <w:tcW w:w="96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FFFFFF" w:val="clear"/>
                <w:lang w:eastAsia="ru-RU"/>
              </w:rPr>
              <w:t>3 квалификационный уровень</w:t>
            </w:r>
          </w:p>
        </w:tc>
      </w:tr>
      <w:tr>
        <w:trPr>
          <w:trHeight w:val="102" w:hRule="atLeast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Наименование профессий рабочих, по которым предусмотрено присвоение 8 квалификационного разряда в соответствии с Единым тарифно-квалификационным </w:t>
            </w:r>
            <w:hyperlink r:id="rId5">
              <w:r>
                <w:rPr>
                  <w:rFonts w:eastAsia="Times New Roman" w:cs="Times New Roman" w:ascii="Times New Roman" w:hAnsi="Times New Roman"/>
                  <w:bCs/>
                  <w:sz w:val="24"/>
                  <w:szCs w:val="24"/>
                  <w:lang w:eastAsia="ru-RU"/>
                </w:rPr>
                <w:t>справочником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работ и профессий рабочих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FFFFFF" w:val="clear"/>
                <w:lang w:eastAsia="ru-RU"/>
              </w:rPr>
              <w:t>6230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FFFFFF" w:val="clear"/>
                <w:lang w:eastAsia="ru-RU"/>
              </w:rPr>
              <w:t>–8272</w:t>
            </w:r>
          </w:p>
        </w:tc>
      </w:tr>
      <w:tr>
        <w:trPr>
          <w:trHeight w:val="102" w:hRule="atLeast"/>
        </w:trPr>
        <w:tc>
          <w:tcPr>
            <w:tcW w:w="96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4 квалификационный уровень</w:t>
            </w:r>
          </w:p>
        </w:tc>
      </w:tr>
      <w:tr>
        <w:trPr>
          <w:trHeight w:val="102" w:hRule="atLeast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Наименование профессий рабочих, предусмотренных </w:t>
              <w:br/>
              <w:t>1–3 квалификационными уровнями настоящей профессиональной квалификационной группой, выполняющих важные (особо важные) и ответственные (особо ответственные) работы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4375–7531</w:t>
            </w:r>
          </w:p>
        </w:tc>
      </w:tr>
    </w:tbl>
    <w:p>
      <w:pPr>
        <w:pStyle w:val="Normal"/>
        <w:widowControl w:val="false"/>
        <w:spacing w:lineRule="auto" w:line="240" w:before="0" w:after="0"/>
        <w:jc w:val="right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>.</w:t>
      </w:r>
      <w:r>
        <w:rPr>
          <w:rFonts w:eastAsia="Times New Roman" w:cs="Times New Roman" w:ascii="Times New Roman" w:hAnsi="Times New Roman"/>
          <w:color w:val="000000"/>
          <w:sz w:val="28"/>
          <w:szCs w:val="20"/>
          <w:shd w:fill="FFFFFF" w:val="clear"/>
          <w:lang w:eastAsia="ru-RU"/>
        </w:rPr>
        <w:t>»</w:t>
      </w:r>
      <w:r>
        <w:rPr>
          <w:rFonts w:eastAsia="Times New Roman" w:cs="Times New Roman" w:ascii="Times New Roman" w:hAnsi="Times New Roman"/>
          <w:color w:val="000000"/>
          <w:sz w:val="28"/>
          <w:szCs w:val="20"/>
          <w:shd w:fill="FFFFFF" w:val="clear"/>
          <w:lang w:val="en-US" w:eastAsia="ru-RU"/>
        </w:rPr>
        <w:t>;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680"/>
        <w:jc w:val="left"/>
        <w:rPr>
          <w:highlight w:val="none"/>
          <w:shd w:fill="FFFFFF" w:val="clear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0"/>
          <w:shd w:fill="FFFFFF" w:val="clear"/>
          <w:lang w:val="ru-RU" w:eastAsia="ru-RU"/>
        </w:rPr>
        <w:t xml:space="preserve">5.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FF" w:val="clear"/>
          <w:lang w:val="ru-RU" w:eastAsia="ru-RU"/>
        </w:rPr>
        <w:t>В части 42 цифру «30» заменить цифрой «35»;</w:t>
      </w:r>
    </w:p>
    <w:p>
      <w:pPr>
        <w:pStyle w:val="Normal"/>
        <w:widowControl/>
        <w:bidi w:val="0"/>
        <w:spacing w:lineRule="auto" w:line="240" w:before="0" w:after="0"/>
        <w:ind w:left="0" w:right="0" w:firstLine="680"/>
        <w:jc w:val="left"/>
        <w:rPr>
          <w:highlight w:val="none"/>
          <w:shd w:fill="FFFFFF" w:val="clear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FF" w:val="clear"/>
          <w:lang w:val="ru-RU" w:eastAsia="ru-RU"/>
        </w:rPr>
        <w:t>6. Часть 43 признать утратившей силу.</w:t>
      </w:r>
    </w:p>
    <w:p>
      <w:pPr>
        <w:pStyle w:val="Normal"/>
        <w:widowControl/>
        <w:bidi w:val="0"/>
        <w:spacing w:lineRule="auto" w:line="264" w:before="0" w:after="160"/>
        <w:jc w:val="left"/>
        <w:rPr>
          <w:highlight w:val="none"/>
          <w:shd w:fill="FFFFFF" w:val="clear"/>
        </w:rPr>
      </w:pPr>
      <w:r>
        <w:rPr>
          <w:shd w:fill="FFFFFF" w:val="clear"/>
        </w:rPr>
      </w:r>
    </w:p>
    <w:sectPr>
      <w:type w:val="nextPage"/>
      <w:pgSz w:w="11906" w:h="16838"/>
      <w:pgMar w:left="1418" w:right="851" w:gutter="0" w:header="0" w:top="1134" w:footer="0" w:bottom="1134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XO Thames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auto"/>
    <w:pitch w:val="default"/>
  </w:font>
</w:fonts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 w:asciiTheme="minorHAnsi" w:hAnsiTheme="minorHAnsi"/>
        <w:color w:val="000000"/>
        <w:sz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link w:val="11"/>
    <w:qFormat/>
    <w:pPr>
      <w:widowControl/>
      <w:suppressAutoHyphens w:val="true"/>
      <w:bidi w:val="0"/>
      <w:spacing w:lineRule="auto" w:line="264" w:before="0" w:after="160"/>
      <w:jc w:val="left"/>
    </w:pPr>
    <w:rPr>
      <w:rFonts w:ascii="Calibri" w:hAnsi="Calibri" w:eastAsia="Times New Roman" w:cs="Times New Roman" w:asciiTheme="minorHAnsi" w:hAnsiTheme="minorHAnsi"/>
      <w:color w:val="000000"/>
      <w:kern w:val="0"/>
      <w:sz w:val="22"/>
      <w:szCs w:val="20"/>
      <w:lang w:val="ru-RU" w:eastAsia="ru-RU" w:bidi="ar-SA"/>
    </w:rPr>
  </w:style>
  <w:style w:type="paragraph" w:styleId="1">
    <w:name w:val="Heading 1"/>
    <w:next w:val="Normal"/>
    <w:link w:val="12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0"/>
    </w:pPr>
    <w:rPr>
      <w:rFonts w:ascii="XO Thames" w:hAnsi="XO Thames" w:eastAsia="Times New Roman" w:cs="Times New Roman"/>
      <w:b/>
      <w:color w:val="000000"/>
      <w:kern w:val="0"/>
      <w:sz w:val="32"/>
      <w:szCs w:val="20"/>
      <w:lang w:val="ru-RU" w:eastAsia="ru-RU" w:bidi="ar-SA"/>
    </w:rPr>
  </w:style>
  <w:style w:type="paragraph" w:styleId="2">
    <w:name w:val="Heading 2"/>
    <w:next w:val="Normal"/>
    <w:link w:val="22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1"/>
    </w:pPr>
    <w:rPr>
      <w:rFonts w:ascii="XO Thames" w:hAnsi="XO Thames" w:eastAsia="Times New Roman" w:cs="Times New Roman"/>
      <w:b/>
      <w:color w:val="000000"/>
      <w:kern w:val="0"/>
      <w:sz w:val="28"/>
      <w:szCs w:val="20"/>
      <w:lang w:val="ru-RU" w:eastAsia="ru-RU" w:bidi="ar-SA"/>
    </w:rPr>
  </w:style>
  <w:style w:type="paragraph" w:styleId="3">
    <w:name w:val="Heading 3"/>
    <w:next w:val="Normal"/>
    <w:link w:val="31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2"/>
    </w:pPr>
    <w:rPr>
      <w:rFonts w:ascii="XO Thames" w:hAnsi="XO Thames" w:eastAsia="Times New Roman" w:cs="Times New Roman"/>
      <w:b/>
      <w:color w:val="000000"/>
      <w:kern w:val="0"/>
      <w:sz w:val="26"/>
      <w:szCs w:val="20"/>
      <w:lang w:val="ru-RU" w:eastAsia="ru-RU" w:bidi="ar-SA"/>
    </w:rPr>
  </w:style>
  <w:style w:type="paragraph" w:styleId="4">
    <w:name w:val="Heading 4"/>
    <w:next w:val="Normal"/>
    <w:link w:val="42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3"/>
    </w:pPr>
    <w:rPr>
      <w:rFonts w:ascii="XO Thames" w:hAnsi="XO Thames" w:eastAsia="Times New Roman" w:cs="Times New Roman"/>
      <w:b/>
      <w:color w:val="000000"/>
      <w:kern w:val="0"/>
      <w:sz w:val="24"/>
      <w:szCs w:val="20"/>
      <w:lang w:val="ru-RU" w:eastAsia="ru-RU" w:bidi="ar-SA"/>
    </w:rPr>
  </w:style>
  <w:style w:type="paragraph" w:styleId="5">
    <w:name w:val="Heading 5"/>
    <w:next w:val="Normal"/>
    <w:link w:val="51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4"/>
    </w:pPr>
    <w:rPr>
      <w:rFonts w:ascii="XO Thames" w:hAnsi="XO Thames" w:eastAsia="Times New Roman" w:cs="Times New Roman"/>
      <w:b/>
      <w:color w:val="000000"/>
      <w:kern w:val="0"/>
      <w:sz w:val="22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Обычный1"/>
    <w:qFormat/>
    <w:rPr/>
  </w:style>
  <w:style w:type="character" w:styleId="21" w:customStyle="1">
    <w:name w:val="Оглавление 2 Знак"/>
    <w:qFormat/>
    <w:rPr>
      <w:rFonts w:ascii="XO Thames" w:hAnsi="XO Thames"/>
      <w:sz w:val="28"/>
    </w:rPr>
  </w:style>
  <w:style w:type="character" w:styleId="41" w:customStyle="1">
    <w:name w:val="Оглавление 4 Знак"/>
    <w:qFormat/>
    <w:rPr>
      <w:rFonts w:ascii="XO Thames" w:hAnsi="XO Thames"/>
      <w:sz w:val="28"/>
    </w:rPr>
  </w:style>
  <w:style w:type="character" w:styleId="Style9" w:customStyle="1">
    <w:name w:val="Верхний колонтитул Знак"/>
    <w:basedOn w:val="11"/>
    <w:qFormat/>
    <w:rPr/>
  </w:style>
  <w:style w:type="character" w:styleId="6" w:customStyle="1">
    <w:name w:val="Оглавление 6 Знак"/>
    <w:qFormat/>
    <w:rPr>
      <w:rFonts w:ascii="XO Thames" w:hAnsi="XO Thames"/>
      <w:sz w:val="28"/>
    </w:rPr>
  </w:style>
  <w:style w:type="character" w:styleId="7" w:customStyle="1">
    <w:name w:val="Оглавление 7 Знак"/>
    <w:qFormat/>
    <w:rPr>
      <w:rFonts w:ascii="XO Thames" w:hAnsi="XO Thames"/>
      <w:sz w:val="28"/>
    </w:rPr>
  </w:style>
  <w:style w:type="character" w:styleId="31" w:customStyle="1">
    <w:name w:val="Заголовок 3 Знак"/>
    <w:qFormat/>
    <w:rPr>
      <w:rFonts w:ascii="XO Thames" w:hAnsi="XO Thames"/>
      <w:b/>
      <w:sz w:val="26"/>
    </w:rPr>
  </w:style>
  <w:style w:type="character" w:styleId="Style10" w:customStyle="1">
    <w:name w:val="Текст Знак"/>
    <w:basedOn w:val="11"/>
    <w:link w:val="PlainText"/>
    <w:qFormat/>
    <w:rPr>
      <w:rFonts w:ascii="Calibri" w:hAnsi="Calibri"/>
    </w:rPr>
  </w:style>
  <w:style w:type="character" w:styleId="32" w:customStyle="1">
    <w:name w:val="Оглавление 3 Знак"/>
    <w:qFormat/>
    <w:rPr>
      <w:rFonts w:ascii="XO Thames" w:hAnsi="XO Thames"/>
      <w:sz w:val="28"/>
    </w:rPr>
  </w:style>
  <w:style w:type="character" w:styleId="51" w:customStyle="1">
    <w:name w:val="Заголовок 5 Знак"/>
    <w:qFormat/>
    <w:rPr>
      <w:rFonts w:ascii="XO Thames" w:hAnsi="XO Thames"/>
      <w:b/>
      <w:sz w:val="22"/>
    </w:rPr>
  </w:style>
  <w:style w:type="character" w:styleId="12" w:customStyle="1">
    <w:name w:val="Заголовок 1 Знак"/>
    <w:qFormat/>
    <w:rPr>
      <w:rFonts w:ascii="XO Thames" w:hAnsi="XO Thames"/>
      <w:b/>
      <w:sz w:val="32"/>
    </w:rPr>
  </w:style>
  <w:style w:type="character" w:styleId="-">
    <w:name w:val="Hyperlink"/>
    <w:basedOn w:val="DefaultParagraphFont"/>
    <w:link w:val="14"/>
    <w:rPr>
      <w:color w:val="0563C1" w:themeColor="hyperlink"/>
      <w:u w:val="single"/>
    </w:rPr>
  </w:style>
  <w:style w:type="character" w:styleId="Footnote" w:customStyle="1">
    <w:name w:val="Footnote"/>
    <w:link w:val="Footnote1"/>
    <w:qFormat/>
    <w:rPr>
      <w:rFonts w:ascii="XO Thames" w:hAnsi="XO Thames"/>
      <w:sz w:val="22"/>
    </w:rPr>
  </w:style>
  <w:style w:type="character" w:styleId="13" w:customStyle="1">
    <w:name w:val="Оглавление 1 Знак"/>
    <w:qFormat/>
    <w:rPr>
      <w:rFonts w:ascii="XO Thames" w:hAnsi="XO Thames"/>
      <w:b/>
      <w:sz w:val="28"/>
    </w:rPr>
  </w:style>
  <w:style w:type="character" w:styleId="HeaderandFooter" w:customStyle="1">
    <w:name w:val="Header and Footer"/>
    <w:qFormat/>
    <w:rPr>
      <w:rFonts w:ascii="XO Thames" w:hAnsi="XO Thames"/>
      <w:sz w:val="20"/>
    </w:rPr>
  </w:style>
  <w:style w:type="character" w:styleId="9" w:customStyle="1">
    <w:name w:val="Оглавление 9 Знак"/>
    <w:qFormat/>
    <w:rPr>
      <w:rFonts w:ascii="XO Thames" w:hAnsi="XO Thames"/>
      <w:sz w:val="28"/>
    </w:rPr>
  </w:style>
  <w:style w:type="character" w:styleId="8" w:customStyle="1">
    <w:name w:val="Оглавление 8 Знак"/>
    <w:qFormat/>
    <w:rPr>
      <w:rFonts w:ascii="XO Thames" w:hAnsi="XO Thames"/>
      <w:sz w:val="28"/>
    </w:rPr>
  </w:style>
  <w:style w:type="character" w:styleId="52" w:customStyle="1">
    <w:name w:val="Оглавление 5 Знак"/>
    <w:qFormat/>
    <w:rPr>
      <w:rFonts w:ascii="XO Thames" w:hAnsi="XO Thames"/>
      <w:sz w:val="28"/>
    </w:rPr>
  </w:style>
  <w:style w:type="character" w:styleId="Style11" w:customStyle="1">
    <w:name w:val="Подзаголовок Знак"/>
    <w:qFormat/>
    <w:rPr>
      <w:rFonts w:ascii="XO Thames" w:hAnsi="XO Thames"/>
      <w:i/>
      <w:sz w:val="24"/>
    </w:rPr>
  </w:style>
  <w:style w:type="character" w:styleId="Style12" w:customStyle="1">
    <w:name w:val="Нижний колонтитул Знак"/>
    <w:basedOn w:val="11"/>
    <w:qFormat/>
    <w:rPr>
      <w:rFonts w:ascii="Times New Roman" w:hAnsi="Times New Roman"/>
      <w:sz w:val="28"/>
    </w:rPr>
  </w:style>
  <w:style w:type="character" w:styleId="Style13" w:customStyle="1">
    <w:name w:val="Название Знак"/>
    <w:qFormat/>
    <w:rPr>
      <w:rFonts w:ascii="XO Thames" w:hAnsi="XO Thames"/>
      <w:b/>
      <w:caps/>
      <w:sz w:val="40"/>
    </w:rPr>
  </w:style>
  <w:style w:type="character" w:styleId="Style14" w:customStyle="1">
    <w:name w:val="Текст выноски Знак"/>
    <w:basedOn w:val="11"/>
    <w:link w:val="BalloonText"/>
    <w:qFormat/>
    <w:rPr>
      <w:rFonts w:ascii="Segoe UI" w:hAnsi="Segoe UI"/>
      <w:sz w:val="18"/>
    </w:rPr>
  </w:style>
  <w:style w:type="character" w:styleId="42" w:customStyle="1">
    <w:name w:val="Заголовок 4 Знак"/>
    <w:qFormat/>
    <w:rPr>
      <w:rFonts w:ascii="XO Thames" w:hAnsi="XO Thames"/>
      <w:b/>
      <w:sz w:val="24"/>
    </w:rPr>
  </w:style>
  <w:style w:type="character" w:styleId="22" w:customStyle="1">
    <w:name w:val="Заголовок 2 Знак"/>
    <w:qFormat/>
    <w:rPr>
      <w:rFonts w:ascii="XO Thames" w:hAnsi="XO Thames"/>
      <w:b/>
      <w:sz w:val="28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ucida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</w:rPr>
  </w:style>
  <w:style w:type="paragraph" w:styleId="23">
    <w:name w:val="TOC 2"/>
    <w:next w:val="Normal"/>
    <w:link w:val="21"/>
    <w:uiPriority w:val="39"/>
    <w:pPr>
      <w:widowControl/>
      <w:suppressAutoHyphens w:val="true"/>
      <w:bidi w:val="0"/>
      <w:spacing w:lineRule="auto" w:line="264" w:before="0" w:after="160"/>
      <w:ind w:left="2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43">
    <w:name w:val="TOC 4"/>
    <w:next w:val="Normal"/>
    <w:link w:val="41"/>
    <w:uiPriority w:val="39"/>
    <w:pPr>
      <w:widowControl/>
      <w:suppressAutoHyphens w:val="true"/>
      <w:bidi w:val="0"/>
      <w:spacing w:lineRule="auto" w:line="264" w:before="0" w:after="160"/>
      <w:ind w:left="6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Style20" w:customStyle="1">
    <w:name w:val="Колонтитул"/>
    <w:qFormat/>
    <w:pPr>
      <w:widowControl/>
      <w:suppressAutoHyphens w:val="true"/>
      <w:bidi w:val="0"/>
      <w:spacing w:lineRule="auto" w:line="240" w:before="0" w:after="160"/>
      <w:jc w:val="both"/>
    </w:pPr>
    <w:rPr>
      <w:rFonts w:ascii="XO Thames" w:hAnsi="XO Thames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Style21">
    <w:name w:val="Header"/>
    <w:basedOn w:val="Normal"/>
    <w:link w:val="Style9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61">
    <w:name w:val="TOC 6"/>
    <w:next w:val="Normal"/>
    <w:link w:val="6"/>
    <w:uiPriority w:val="39"/>
    <w:pPr>
      <w:widowControl/>
      <w:suppressAutoHyphens w:val="true"/>
      <w:bidi w:val="0"/>
      <w:spacing w:lineRule="auto" w:line="264" w:before="0" w:after="160"/>
      <w:ind w:left="10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71">
    <w:name w:val="TOC 7"/>
    <w:next w:val="Normal"/>
    <w:link w:val="7"/>
    <w:uiPriority w:val="39"/>
    <w:pPr>
      <w:widowControl/>
      <w:suppressAutoHyphens w:val="true"/>
      <w:bidi w:val="0"/>
      <w:spacing w:lineRule="auto" w:line="264" w:before="0" w:after="160"/>
      <w:ind w:left="12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PlainText">
    <w:name w:val="Plain Text"/>
    <w:basedOn w:val="Normal"/>
    <w:link w:val="Style10"/>
    <w:qFormat/>
    <w:pPr>
      <w:spacing w:lineRule="auto" w:line="240" w:before="0" w:after="0"/>
    </w:pPr>
    <w:rPr>
      <w:rFonts w:ascii="Calibri" w:hAnsi="Calibri"/>
    </w:rPr>
  </w:style>
  <w:style w:type="paragraph" w:styleId="33">
    <w:name w:val="TOC 3"/>
    <w:next w:val="Normal"/>
    <w:link w:val="32"/>
    <w:uiPriority w:val="39"/>
    <w:pPr>
      <w:widowControl/>
      <w:suppressAutoHyphens w:val="true"/>
      <w:bidi w:val="0"/>
      <w:spacing w:lineRule="auto" w:line="264" w:before="0" w:after="160"/>
      <w:ind w:left="4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14" w:customStyle="1">
    <w:name w:val="Гиперссылка1"/>
    <w:basedOn w:val="16"/>
    <w:qFormat/>
    <w:pPr/>
    <w:rPr>
      <w:color w:val="0563C1" w:themeColor="hyperlink"/>
      <w:u w:val="single"/>
    </w:rPr>
  </w:style>
  <w:style w:type="paragraph" w:styleId="Footnote1" w:customStyle="1">
    <w:name w:val="Footnote"/>
    <w:link w:val="Footnote"/>
    <w:qFormat/>
    <w:pPr>
      <w:widowControl/>
      <w:suppressAutoHyphens w:val="true"/>
      <w:bidi w:val="0"/>
      <w:spacing w:lineRule="auto" w:line="264" w:before="0" w:after="160"/>
      <w:ind w:firstLine="851"/>
      <w:jc w:val="both"/>
    </w:pPr>
    <w:rPr>
      <w:rFonts w:ascii="XO Thames" w:hAnsi="XO Thames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15">
    <w:name w:val="TOC 1"/>
    <w:next w:val="Normal"/>
    <w:link w:val="13"/>
    <w:uiPriority w:val="39"/>
    <w:pPr>
      <w:widowControl/>
      <w:suppressAutoHyphens w:val="true"/>
      <w:bidi w:val="0"/>
      <w:spacing w:lineRule="auto" w:line="264" w:before="0" w:after="160"/>
      <w:jc w:val="left"/>
    </w:pPr>
    <w:rPr>
      <w:rFonts w:ascii="XO Thames" w:hAnsi="XO Thames" w:eastAsia="Times New Roman" w:cs="Times New Roman"/>
      <w:b/>
      <w:color w:val="000000"/>
      <w:kern w:val="0"/>
      <w:sz w:val="28"/>
      <w:szCs w:val="20"/>
      <w:lang w:val="ru-RU" w:eastAsia="ru-RU" w:bidi="ar-SA"/>
    </w:rPr>
  </w:style>
  <w:style w:type="paragraph" w:styleId="16" w:customStyle="1">
    <w:name w:val="Основной шрифт абзаца1"/>
    <w:qFormat/>
    <w:pPr>
      <w:widowControl/>
      <w:suppressAutoHyphens w:val="true"/>
      <w:bidi w:val="0"/>
      <w:spacing w:lineRule="auto" w:line="264" w:before="0" w:after="160"/>
      <w:jc w:val="left"/>
    </w:pPr>
    <w:rPr>
      <w:rFonts w:ascii="Calibri" w:hAnsi="Calibri" w:eastAsia="Times New Roman" w:cs="Times New Roman" w:asciiTheme="minorHAnsi" w:hAnsiTheme="minorHAnsi"/>
      <w:color w:val="000000"/>
      <w:kern w:val="0"/>
      <w:sz w:val="22"/>
      <w:szCs w:val="20"/>
      <w:lang w:val="ru-RU" w:eastAsia="ru-RU" w:bidi="ar-SA"/>
    </w:rPr>
  </w:style>
  <w:style w:type="paragraph" w:styleId="91">
    <w:name w:val="TOC 9"/>
    <w:next w:val="Normal"/>
    <w:link w:val="9"/>
    <w:uiPriority w:val="39"/>
    <w:pPr>
      <w:widowControl/>
      <w:suppressAutoHyphens w:val="true"/>
      <w:bidi w:val="0"/>
      <w:spacing w:lineRule="auto" w:line="264" w:before="0" w:after="160"/>
      <w:ind w:left="16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81">
    <w:name w:val="TOC 8"/>
    <w:next w:val="Normal"/>
    <w:link w:val="8"/>
    <w:uiPriority w:val="39"/>
    <w:pPr>
      <w:widowControl/>
      <w:suppressAutoHyphens w:val="true"/>
      <w:bidi w:val="0"/>
      <w:spacing w:lineRule="auto" w:line="264" w:before="0" w:after="160"/>
      <w:ind w:left="14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53">
    <w:name w:val="TOC 5"/>
    <w:next w:val="Normal"/>
    <w:link w:val="52"/>
    <w:uiPriority w:val="39"/>
    <w:pPr>
      <w:widowControl/>
      <w:suppressAutoHyphens w:val="true"/>
      <w:bidi w:val="0"/>
      <w:spacing w:lineRule="auto" w:line="264" w:before="0" w:after="160"/>
      <w:ind w:left="8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Style22">
    <w:name w:val="Subtitle"/>
    <w:next w:val="Normal"/>
    <w:link w:val="Style11"/>
    <w:uiPriority w:val="11"/>
    <w:qFormat/>
    <w:pPr>
      <w:widowControl/>
      <w:suppressAutoHyphens w:val="true"/>
      <w:bidi w:val="0"/>
      <w:spacing w:lineRule="auto" w:line="264" w:before="0" w:after="160"/>
      <w:jc w:val="both"/>
    </w:pPr>
    <w:rPr>
      <w:rFonts w:ascii="XO Thames" w:hAnsi="XO Thames" w:eastAsia="Times New Roman" w:cs="Times New Roman"/>
      <w:i/>
      <w:color w:val="000000"/>
      <w:kern w:val="0"/>
      <w:sz w:val="24"/>
      <w:szCs w:val="20"/>
      <w:lang w:val="ru-RU" w:eastAsia="ru-RU" w:bidi="ar-SA"/>
    </w:rPr>
  </w:style>
  <w:style w:type="paragraph" w:styleId="Style23">
    <w:name w:val="Footer"/>
    <w:basedOn w:val="Normal"/>
    <w:link w:val="Style12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/>
      <w:sz w:val="28"/>
    </w:rPr>
  </w:style>
  <w:style w:type="paragraph" w:styleId="Style24">
    <w:name w:val="Title"/>
    <w:next w:val="Normal"/>
    <w:link w:val="Style13"/>
    <w:uiPriority w:val="10"/>
    <w:qFormat/>
    <w:pPr>
      <w:widowControl/>
      <w:suppressAutoHyphens w:val="true"/>
      <w:bidi w:val="0"/>
      <w:spacing w:lineRule="auto" w:line="264" w:before="567" w:after="567"/>
      <w:jc w:val="center"/>
    </w:pPr>
    <w:rPr>
      <w:rFonts w:ascii="XO Thames" w:hAnsi="XO Thames" w:eastAsia="Times New Roman" w:cs="Times New Roman"/>
      <w:b/>
      <w:caps/>
      <w:color w:val="000000"/>
      <w:kern w:val="0"/>
      <w:sz w:val="40"/>
      <w:szCs w:val="20"/>
      <w:lang w:val="ru-RU" w:eastAsia="ru-RU" w:bidi="ar-SA"/>
    </w:rPr>
  </w:style>
  <w:style w:type="paragraph" w:styleId="BalloonText">
    <w:name w:val="Balloon Text"/>
    <w:basedOn w:val="Normal"/>
    <w:link w:val="Style14"/>
    <w:qFormat/>
    <w:pPr>
      <w:spacing w:lineRule="auto" w:line="240" w:before="0" w:after="0"/>
    </w:pPr>
    <w:rPr>
      <w:rFonts w:ascii="Segoe UI" w:hAnsi="Segoe UI"/>
      <w:sz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6">
    <w:name w:val="Сетка таблицы1"/>
    <w:basedOn w:val="a1"/>
    <w:pPr>
      <w:spacing w:after="0" w:line="240" w:lineRule="auto"/>
    </w:pPr>
    <w:rPr>
      <w:sz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23">
    <w:name w:val="Сетка таблицы2"/>
    <w:basedOn w:val="a1"/>
    <w:pPr>
      <w:spacing w:after="0" w:line="240" w:lineRule="auto"/>
    </w:pPr>
    <w:rPr>
      <w:sz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consultantplus://offline/ref=17C1C6504F2396503A5EC15E570BCC6FCFE678C64C8542E6407C45BB8E11E82857A36F390F11742737A6C893D5DDA48A1AD55F5583AE6709Y20BA" TargetMode="External"/><Relationship Id="rId4" Type="http://schemas.openxmlformats.org/officeDocument/2006/relationships/hyperlink" Target="consultantplus://offline/ref=B7A9FE9EFC6DE6118384DD8048EE52C9D6D5E711F56EF4F67071933BA4C0606DD963E00C59C420DC5CB1D84AD651AA47D52C5E97427E016EECA7B" TargetMode="External"/><Relationship Id="rId5" Type="http://schemas.openxmlformats.org/officeDocument/2006/relationships/hyperlink" Target="consultantplus://offline/ref=12EB69D828F724F2350BB08D6152C93BF50761596E0F2673B0E866313B8240A3D258A0207D1280764F2AEC454CAC5832ED99A9C84B7BDF8AQBD0B" TargetMode="Externa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5558</TotalTime>
  <Application>LibreOffice/7.5.3.2$Windows_X86_64 LibreOffice_project/9f56dff12ba03b9acd7730a5a481eea045e468f3</Application>
  <AppVersion>15.0000</AppVersion>
  <Pages>5</Pages>
  <Words>680</Words>
  <Characters>4468</Characters>
  <CharactersWithSpaces>5078</CharactersWithSpaces>
  <Paragraphs>127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2023-05-02T08:03:00Z</dcterms:created>
  <dc:creator/>
  <dc:description/>
  <dc:language>ru-RU</dc:language>
  <cp:lastModifiedBy/>
  <cp:lastPrinted>2023-09-15T08:27:09Z</cp:lastPrinted>
  <dcterms:modified xsi:type="dcterms:W3CDTF">2023-10-02T16:35:52Z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